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Intergroup Minutes - 27 October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Apologies: Richard (sec), Steve, Maria (Treasurer) , Lisa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attendance: Grace ( Chair) Nat J ( Gayfield ), Dougie ( Schools), Jemma (Region), Alex R ( Friday night step 11), Colin F ( Murrayfield), Stven H ( Observing) Sarah R (EPP), Ash (EPP), Ewan M ( Observing) Kerry ( Palmerston), George (Stockbridge), Catherine (Holy Corner).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Approval of last months minutes Colin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Discussion around any further actions to be taken forward from the intergroup group inventory: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After input from attendees consideration will be given to  to reducing number of intergroup meeting held per year (Jemma to propose)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to potentially using the freed up time for support, education and promote wider engagement with either in- person/ online etc (Nat to propose)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to Continue to think about ways to engage with other groups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Treasurers report Emailed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Region report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Region Rep Jemma suggests all groups should check their meeting details and contact details are up to date with AA York as a new “where to find” is being published. Groups can check this information on the AA website.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Groups are also asked to check if they want to be listed as open or closed meetings - a professional had some difficulty attending an ‘open’ meeting, can groups please discuss this and check if their listing is correct</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The Scottish National convention (SNC) will be looking for speaker for the convention next year in April. All intergroups in Scotland will be asked to put forward nomination. Jemma will come back with further details on criteria.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Schools Report Emailed. Dougie has had one new school request that is not covered as yet. However all other talks for the rest of the year have been successfully filled with speakers.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Ritson Clinic Item carried over from last months minutes- Richard to try and get the working group going again. Lisa S interested in joining the sub group with a view to taking on the Health LO role once discussing it further.</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Next meeting, AGM: 24 November 7:15pm, to be held online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